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center"/>
            </w:pPr>
            <w:r>
              <w:rPr>
                <w:rFonts w:ascii="Arial" w:hAnsi="Arial"/>
                <w:b/>
                <w:color w:val="000000"/>
              </w:rPr>
              <w:t>A GUTUN-AZALA (“</w:t>
            </w:r>
            <w:proofErr w:type="spellStart"/>
            <w:r>
              <w:rPr>
                <w:rFonts w:ascii="Arial" w:hAnsi="Arial"/>
                <w:b/>
                <w:color w:val="000000"/>
                <w:u w:val="single"/>
              </w:rPr>
              <w:t>Kontratatzeko</w:t>
            </w:r>
            <w:proofErr w:type="spellEnd"/>
            <w:r>
              <w:rPr>
                <w:rFonts w:ascii="Arial" w:hAnsi="Arial"/>
                <w:b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u w:val="single"/>
              </w:rPr>
              <w:t>gaitasuna</w:t>
            </w:r>
            <w:proofErr w:type="spellEnd"/>
            <w:r>
              <w:rPr>
                <w:rFonts w:ascii="Arial" w:hAnsi="Arial"/>
                <w:b/>
                <w:color w:val="000000"/>
              </w:rPr>
              <w:t>”) IREKI ETA BERTAKO DOKUMENTAZIOA KALIFIKATZEKO EKITALDIKO AKTA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center"/>
            </w:pPr>
            <w:r>
              <w:rPr>
                <w:rFonts w:ascii="Arial" w:hAnsi="Arial"/>
                <w:b/>
                <w:color w:val="000000"/>
              </w:rPr>
              <w:t>ACTA REFERENTE A LA APERTURA Y CALIFICACIÓN DE LA DOCUMENTACIÓN CONTENIDA EN EL SOBRE A (“</w:t>
            </w:r>
            <w:r>
              <w:rPr>
                <w:rFonts w:ascii="Arial" w:hAnsi="Arial"/>
                <w:b/>
                <w:color w:val="000000"/>
                <w:u w:val="single"/>
              </w:rPr>
              <w:t>Aptitud para contratar</w:t>
            </w:r>
            <w:r>
              <w:rPr>
                <w:rFonts w:ascii="Arial" w:hAnsi="Arial"/>
                <w:b/>
                <w:color w:val="000000"/>
              </w:rPr>
              <w:t>”)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center"/>
            </w:pPr>
            <w:r>
              <w:rPr>
                <w:rFonts w:ascii="Arial" w:hAnsi="Arial"/>
                <w:color w:val="000000"/>
              </w:rPr>
              <w:t xml:space="preserve">LIZITAZIOA, HONAKO LEHIAKETA HAU PROZEDURA IREKI SINPLIFIKATU BIDEZ KONTRATATZEKO: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center"/>
            </w:pPr>
            <w:r>
              <w:rPr>
                <w:rFonts w:ascii="Arial" w:hAnsi="Arial"/>
                <w:color w:val="000000"/>
              </w:rPr>
              <w:t>LICITACIÓN, MEDIANTE PROCEDIMIENTO ABIERTO SIMPLIFICADO, PARA LA CONTRATACIÓN: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center"/>
            </w:pPr>
            <w:r>
              <w:rPr>
                <w:rFonts w:ascii="Arial" w:hAnsi="Arial"/>
                <w:b/>
                <w:color w:val="000000"/>
              </w:rPr>
              <w:t>IÑURRITZA BIOTOPOKO POLIETILENO LINEA ORDEZKATZEA - ZARAUTZ</w:t>
            </w:r>
          </w:p>
          <w:p w:rsidR="00E34F25" w:rsidRDefault="00936844">
            <w:pPr>
              <w:jc w:val="center"/>
            </w:pPr>
            <w:r>
              <w:rPr>
                <w:rFonts w:ascii="Arial" w:hAnsi="Arial"/>
                <w:b/>
                <w:color w:val="000000"/>
              </w:rPr>
              <w:t xml:space="preserve">SUSTITUCION LINEA POLIETILENO </w:t>
            </w:r>
            <w:r>
              <w:rPr>
                <w:rFonts w:ascii="Arial" w:hAnsi="Arial"/>
                <w:b/>
                <w:color w:val="000000"/>
              </w:rPr>
              <w:t>BIOTOPO IÑURRITZA - ZARAUTZ</w:t>
            </w:r>
          </w:p>
          <w:p w:rsidR="00E34F25" w:rsidRDefault="00936844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 xml:space="preserve">(CIA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Obrak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/ Obras CIA )</w:t>
            </w:r>
          </w:p>
          <w:p w:rsidR="00E34F25" w:rsidRDefault="00936844">
            <w:pPr>
              <w:jc w:val="center"/>
              <w:rPr>
                <w:vanish/>
              </w:rPr>
            </w:pPr>
            <w:bookmarkStart w:id="0" w:name="_dx_frag_StartFragment"/>
            <w:bookmarkEnd w:id="0"/>
            <w:r>
              <w:rPr>
                <w:rFonts w:ascii="Arial" w:hAnsi="Arial"/>
                <w:vanish/>
                <w:color w:val="000000"/>
                <w:sz w:val="22"/>
              </w:rPr>
              <w:t>[OCULTAR] (LOTEKAKO KONTRATAZIOA /CONTRATACIÓN POR LOTES)</w:t>
            </w:r>
            <w:bookmarkStart w:id="1" w:name="_dx_frag_EndFragment"/>
            <w:bookmarkEnd w:id="1"/>
            <w:r>
              <w:rPr>
                <w:rFonts w:ascii="Arial" w:hAnsi="Arial"/>
                <w:vanish/>
                <w:color w:val="000000"/>
              </w:rPr>
              <w:t xml:space="preserve"> </w:t>
            </w:r>
          </w:p>
          <w:p w:rsidR="00E34F25" w:rsidRDefault="0093684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r>
              <w:rPr>
                <w:rFonts w:ascii="Arial" w:hAnsi="Arial"/>
                <w:color w:val="000000"/>
              </w:rPr>
              <w:t>2024</w:t>
            </w:r>
            <w:proofErr w:type="gramStart"/>
            <w:r>
              <w:rPr>
                <w:rFonts w:ascii="Arial" w:hAnsi="Arial"/>
                <w:color w:val="000000"/>
              </w:rPr>
              <w:t>.eko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azaroak</w:t>
            </w:r>
            <w:proofErr w:type="spellEnd"/>
            <w:r>
              <w:rPr>
                <w:rFonts w:ascii="Arial" w:hAnsi="Arial"/>
                <w:color w:val="000000"/>
              </w:rPr>
              <w:t xml:space="preserve"> 11, </w:t>
            </w:r>
            <w:proofErr w:type="spellStart"/>
            <w:r>
              <w:rPr>
                <w:rFonts w:ascii="Arial" w:hAnsi="Arial"/>
                <w:color w:val="000000"/>
              </w:rPr>
              <w:t>Ebaluazio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Batzordeak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lizitatzaileen</w:t>
            </w:r>
            <w:proofErr w:type="spellEnd"/>
            <w:r>
              <w:rPr>
                <w:rFonts w:ascii="Arial" w:hAnsi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/>
                <w:color w:val="000000"/>
              </w:rPr>
              <w:t>gutun-azalak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ireki</w:t>
            </w:r>
            <w:proofErr w:type="spellEnd"/>
            <w:r>
              <w:rPr>
                <w:rFonts w:ascii="Arial" w:hAnsi="Arial"/>
                <w:color w:val="000000"/>
              </w:rPr>
              <w:t xml:space="preserve"> eta </w:t>
            </w:r>
            <w:proofErr w:type="spellStart"/>
            <w:r>
              <w:rPr>
                <w:rFonts w:ascii="Arial" w:hAnsi="Arial"/>
                <w:color w:val="000000"/>
              </w:rPr>
              <w:t>bertako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dokumentazioa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kalifikatu</w:t>
            </w:r>
            <w:proofErr w:type="spellEnd"/>
            <w:r>
              <w:rPr>
                <w:rFonts w:ascii="Arial" w:hAnsi="Arial"/>
                <w:color w:val="000000"/>
              </w:rPr>
              <w:t xml:space="preserve"> du. </w:t>
            </w:r>
            <w:proofErr w:type="spellStart"/>
            <w:r>
              <w:rPr>
                <w:rFonts w:ascii="Arial" w:hAnsi="Arial"/>
                <w:color w:val="000000"/>
              </w:rPr>
              <w:t>Hau</w:t>
            </w:r>
            <w:proofErr w:type="spellEnd"/>
            <w:r>
              <w:rPr>
                <w:rFonts w:ascii="Arial" w:hAnsi="Arial"/>
                <w:color w:val="000000"/>
              </w:rPr>
              <w:t xml:space="preserve"> izan da </w:t>
            </w:r>
            <w:proofErr w:type="spellStart"/>
            <w:r>
              <w:rPr>
                <w:rFonts w:ascii="Arial" w:hAnsi="Arial"/>
                <w:color w:val="000000"/>
              </w:rPr>
              <w:t>emaitza</w:t>
            </w:r>
            <w:proofErr w:type="spellEnd"/>
            <w:r>
              <w:rPr>
                <w:rFonts w:ascii="Arial" w:hAnsi="Arial"/>
                <w:color w:val="000000"/>
              </w:rPr>
              <w:t xml:space="preserve">: 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</w:pPr>
            <w:r>
              <w:rPr>
                <w:rFonts w:ascii="Arial" w:hAnsi="Arial"/>
                <w:color w:val="000000"/>
              </w:rPr>
              <w:t>Con fecha 11 de noviembre de 2024, el Comité de Evaluación procede a la apertura y calificación de la documentación contenida en el Sobre A de los licitadores, con el siguiente resultado: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9"/>
              <w:gridCol w:w="1305"/>
              <w:gridCol w:w="2120"/>
              <w:gridCol w:w="1760"/>
            </w:tblGrid>
            <w:tr w:rsidR="00E34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shd w:val="clear" w:color="auto" w:fill="C0C0C0"/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shd w:val="clear" w:color="auto" w:fill="C0C0C0"/>
                    </w:rPr>
                    <w:br/>
                    <w:t>LICITADOR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shd w:val="clear" w:color="auto" w:fill="C0C0C0"/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shd w:val="clear" w:color="auto" w:fill="C0C0C0"/>
                    </w:rPr>
                    <w:br/>
                    <w:t>ESTADO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shd w:val="clear" w:color="auto" w:fill="C0C0C0"/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shd w:val="clear" w:color="auto" w:fill="C0C0C0"/>
                    </w:rPr>
                    <w:br/>
                    <w:t>OBSERVACIONES(*)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shd w:val="clear" w:color="auto" w:fill="C0C0C0"/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5"/>
                      <w:shd w:val="clear" w:color="auto" w:fill="C0C0C0"/>
                    </w:rPr>
                    <w:br/>
                    <w:t>SUBSANABLE(*)</w:t>
                  </w:r>
                </w:p>
              </w:tc>
            </w:tr>
            <w:tr w:rsidR="00E34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EGINKA </w:t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CONSTRUCCIONES Y REFORMAS SL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SUBSANAR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Pr="00020D15" w:rsidRDefault="00020D15">
                  <w:pPr>
                    <w:jc w:val="center"/>
                    <w:rPr>
                      <w:rFonts w:ascii="Arial" w:hAnsi="Arial"/>
                      <w:color w:val="000000"/>
                      <w:sz w:val="15"/>
                    </w:rPr>
                  </w:pPr>
                  <w:r w:rsidRPr="00020D15">
                    <w:rPr>
                      <w:rFonts w:ascii="Arial" w:hAnsi="Arial"/>
                      <w:color w:val="000000"/>
                      <w:sz w:val="15"/>
                    </w:rPr>
                    <w:t>Falta anexo 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Pr="00020D15" w:rsidRDefault="00020D15">
                  <w:pPr>
                    <w:jc w:val="center"/>
                    <w:rPr>
                      <w:rFonts w:ascii="Arial" w:hAnsi="Arial"/>
                      <w:color w:val="000000"/>
                      <w:sz w:val="15"/>
                    </w:rPr>
                  </w:pPr>
                  <w:r w:rsidRPr="00020D15">
                    <w:rPr>
                      <w:rFonts w:ascii="Arial" w:hAnsi="Arial"/>
                      <w:color w:val="000000"/>
                      <w:sz w:val="15"/>
                    </w:rPr>
                    <w:t>si</w:t>
                  </w:r>
                </w:p>
              </w:tc>
            </w:tr>
            <w:tr w:rsidR="00E34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EKIN ERAIKETAK, S.L.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APROBADO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E34F25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E34F25">
                  <w:pPr>
                    <w:jc w:val="center"/>
                  </w:pPr>
                </w:p>
              </w:tc>
            </w:tr>
            <w:tr w:rsidR="00E34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EREGI HERRILAN ETA ZERBITZUAK, S.L.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APROBADO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E34F25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E34F25">
                  <w:pPr>
                    <w:jc w:val="center"/>
                  </w:pPr>
                </w:p>
              </w:tc>
            </w:tr>
            <w:tr w:rsidR="00E34F2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EXCAVACIONES EKIN, S.L.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APROBADO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E34F25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</w:tcPr>
                <w:p w:rsidR="00E34F25" w:rsidRDefault="00E34F25">
                  <w:pPr>
                    <w:jc w:val="center"/>
                  </w:pPr>
                </w:p>
              </w:tc>
            </w:tr>
          </w:tbl>
          <w:p w:rsidR="00E34F25" w:rsidRDefault="00E34F25"/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roofErr w:type="spellStart"/>
            <w:r>
              <w:rPr>
                <w:rFonts w:ascii="Arial" w:hAnsi="Arial"/>
                <w:color w:val="000000"/>
              </w:rPr>
              <w:t>Hori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guztia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ikusita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Ebaluazio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Batzordeak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erabaki</w:t>
            </w:r>
            <w:proofErr w:type="spellEnd"/>
            <w:r>
              <w:rPr>
                <w:rFonts w:ascii="Arial" w:hAnsi="Arial"/>
                <w:color w:val="000000"/>
              </w:rPr>
              <w:t xml:space="preserve"> du: 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r>
              <w:rPr>
                <w:rFonts w:ascii="Arial" w:hAnsi="Arial"/>
                <w:color w:val="000000"/>
              </w:rPr>
              <w:t xml:space="preserve">A la vista de todo ello, por </w:t>
            </w:r>
            <w:bookmarkStart w:id="2" w:name="_Hlk104795014"/>
            <w:r>
              <w:rPr>
                <w:rFonts w:ascii="Arial" w:hAnsi="Arial"/>
                <w:color w:val="000000"/>
              </w:rPr>
              <w:t xml:space="preserve">el Comité de Evaluación </w:t>
            </w:r>
            <w:bookmarkEnd w:id="2"/>
            <w:r>
              <w:rPr>
                <w:rFonts w:ascii="Arial" w:hAnsi="Arial"/>
                <w:color w:val="000000"/>
              </w:rPr>
              <w:t>se acuerda: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rPr>
          <w:hidden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  <w:rPr>
                <w:vanish/>
              </w:rPr>
            </w:pPr>
            <w:r>
              <w:rPr>
                <w:rFonts w:ascii="Arial" w:hAnsi="Arial"/>
                <w:vanish/>
                <w:color w:val="000000"/>
              </w:rPr>
              <w:t>[OCULTAR] Lizitatzaileek aurkeztutako proposamen guztiak onartzea eta C gutun-azala ("Formulak erabiliz ebaluatu daitezkeen irizpideei buruzko dokumentazioa") irekitzea.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  <w:rPr>
                <w:vanish/>
              </w:rPr>
            </w:pPr>
            <w:r>
              <w:rPr>
                <w:rFonts w:ascii="Arial" w:hAnsi="Arial"/>
                <w:vanish/>
                <w:color w:val="000000"/>
              </w:rPr>
              <w:t xml:space="preserve">[OCULTAR] Admitir las propuestas presentadas </w:t>
            </w:r>
            <w:r>
              <w:rPr>
                <w:rFonts w:ascii="Arial" w:hAnsi="Arial"/>
                <w:vanish/>
                <w:color w:val="000000"/>
              </w:rPr>
              <w:t>por todos los licitadores y proceder a la apertura del Sobre C ("Documentación relativa a los criterios evaluables mediante la utilización de fórmulas").</w:t>
            </w:r>
          </w:p>
          <w:p w:rsidR="00E34F25" w:rsidRDefault="00936844">
            <w:pPr>
              <w:jc w:val="center"/>
            </w:pPr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roofErr w:type="spellStart"/>
            <w:r>
              <w:rPr>
                <w:rFonts w:ascii="Arial" w:hAnsi="Arial"/>
                <w:color w:val="000000"/>
              </w:rPr>
              <w:t>Ondorengo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proposamenak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onartzea</w:t>
            </w:r>
            <w:proofErr w:type="spellEnd"/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r>
              <w:rPr>
                <w:rFonts w:ascii="Arial" w:hAnsi="Arial"/>
                <w:color w:val="000000"/>
              </w:rPr>
              <w:t>Admitir las propuestas presentadas por los siguientes licitadores:</w:t>
            </w:r>
          </w:p>
        </w:tc>
      </w:tr>
      <w:tr w:rsidR="00E34F25"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E34F25">
            <w:pPr>
              <w:jc w:val="center"/>
              <w:rPr>
                <w:rFonts w:ascii="Arial" w:hAnsi="Arial"/>
                <w:color w:val="00000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E34F2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>1 - EKIN ERAIKETAK, S.L.</w:t>
                  </w:r>
                </w:p>
              </w:tc>
            </w:tr>
            <w:tr w:rsidR="00E34F2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>2 - EREGI HERRILAN ETA ZERBITZUAK, S.L.</w:t>
                  </w:r>
                </w:p>
              </w:tc>
            </w:tr>
            <w:tr w:rsidR="00E34F2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>3 - EXCAVACIONES EKIN, S.L.</w:t>
                  </w:r>
                </w:p>
              </w:tc>
            </w:tr>
          </w:tbl>
          <w:p w:rsidR="00E34F25" w:rsidRDefault="00E34F25">
            <w:pPr>
              <w:jc w:val="center"/>
            </w:pPr>
          </w:p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roofErr w:type="spellStart"/>
            <w:r>
              <w:rPr>
                <w:rFonts w:ascii="Arial" w:hAnsi="Arial"/>
                <w:color w:val="000000"/>
              </w:rPr>
              <w:t>Ondorengo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lizitzaileei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hiru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egun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naturaleko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epea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ematea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akta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honetan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zuzengarritzat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lastRenderedPageBreak/>
              <w:t>kalifikatutako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akatsak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zuzentzeko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dokumentazioa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aurkez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dezaten</w:t>
            </w:r>
            <w:proofErr w:type="spellEnd"/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</w:pPr>
            <w:r>
              <w:rPr>
                <w:rFonts w:ascii="Arial" w:hAnsi="Arial"/>
                <w:color w:val="000000"/>
              </w:rPr>
              <w:lastRenderedPageBreak/>
              <w:t xml:space="preserve"> Conceder un plazo de tres días naturales   para que presente/n la documentación </w:t>
            </w:r>
            <w:r>
              <w:rPr>
                <w:rFonts w:ascii="Arial" w:hAnsi="Arial"/>
                <w:color w:val="000000"/>
              </w:rPr>
              <w:lastRenderedPageBreak/>
              <w:t>que, según lo dispuesto en el presente Acta, subsane aquellos defectos calificados expresamente como subsanables, a los siguientes licitadores:</w:t>
            </w:r>
          </w:p>
        </w:tc>
      </w:tr>
      <w:tr w:rsidR="00E34F25"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E34F25">
            <w:pPr>
              <w:jc w:val="center"/>
              <w:rPr>
                <w:rFonts w:ascii="Arial" w:hAnsi="Arial"/>
                <w:color w:val="00000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E34F2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34F25" w:rsidRDefault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>1 - EGINKA CONSTRUCCIONES Y R</w:t>
                  </w:r>
                  <w:r>
                    <w:rPr>
                      <w:rFonts w:ascii="Arial" w:hAnsi="Arial"/>
                      <w:color w:val="000000"/>
                    </w:rPr>
                    <w:t>EFORMAS SL</w:t>
                  </w:r>
                </w:p>
              </w:tc>
            </w:tr>
          </w:tbl>
          <w:p w:rsidR="00E34F25" w:rsidRDefault="00E34F25">
            <w:pPr>
              <w:jc w:val="center"/>
            </w:pPr>
          </w:p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</w:pPr>
            <w:r>
              <w:rPr>
                <w:rFonts w:ascii="Arial" w:hAnsi="Arial"/>
                <w:color w:val="000000"/>
              </w:rPr>
              <w:t>  </w:t>
            </w:r>
            <w:proofErr w:type="spellStart"/>
            <w:r>
              <w:rPr>
                <w:rFonts w:ascii="Arial" w:hAnsi="Arial"/>
                <w:color w:val="000000"/>
              </w:rPr>
              <w:t>Aurreko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puntuko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epea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igaro</w:t>
            </w:r>
            <w:proofErr w:type="spellEnd"/>
            <w:r>
              <w:rPr>
                <w:rFonts w:ascii="Arial" w:hAnsi="Arial"/>
                <w:color w:val="000000"/>
              </w:rPr>
              <w:t xml:space="preserve"> eta </w:t>
            </w:r>
            <w:proofErr w:type="spellStart"/>
            <w:r>
              <w:rPr>
                <w:rFonts w:ascii="Arial" w:hAnsi="Arial"/>
                <w:color w:val="000000"/>
              </w:rPr>
              <w:t>gero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biltzea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akatsak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behar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bezala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zuzenduak</w:t>
            </w:r>
            <w:proofErr w:type="spellEnd"/>
            <w:r>
              <w:rPr>
                <w:rFonts w:ascii="Arial" w:hAnsi="Arial"/>
                <w:color w:val="000000"/>
              </w:rPr>
              <w:t xml:space="preserve"> izan </w:t>
            </w:r>
            <w:proofErr w:type="spellStart"/>
            <w:r>
              <w:rPr>
                <w:rFonts w:ascii="Arial" w:hAnsi="Arial"/>
                <w:color w:val="000000"/>
              </w:rPr>
              <w:t>diren</w:t>
            </w:r>
            <w:proofErr w:type="spellEnd"/>
            <w:r>
              <w:rPr>
                <w:rFonts w:ascii="Arial" w:hAnsi="Arial"/>
                <w:color w:val="000000"/>
              </w:rPr>
              <w:t xml:space="preserve"> ala </w:t>
            </w:r>
            <w:proofErr w:type="spellStart"/>
            <w:r>
              <w:rPr>
                <w:rFonts w:ascii="Arial" w:hAnsi="Arial"/>
                <w:color w:val="000000"/>
              </w:rPr>
              <w:t>ez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egiaztatzeko</w:t>
            </w:r>
            <w:proofErr w:type="spellEnd"/>
            <w:r>
              <w:rPr>
                <w:rFonts w:ascii="Arial" w:hAnsi="Arial"/>
                <w:color w:val="000000"/>
              </w:rPr>
              <w:t>.  </w:t>
            </w:r>
          </w:p>
          <w:p w:rsidR="00E34F25" w:rsidRDefault="00936844"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</w:pPr>
            <w:r>
              <w:rPr>
                <w:rFonts w:ascii="Arial" w:hAnsi="Arial"/>
                <w:color w:val="000000"/>
              </w:rPr>
              <w:t xml:space="preserve">  Reunirse una vez transcurrido el plazo concedido en el punto anterior, a fin de verificar si los defectos han sido subsanados o no adecuadamente. </w:t>
            </w:r>
          </w:p>
          <w:p w:rsidR="00E34F25" w:rsidRDefault="00936844"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rPr>
          <w:hidden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  <w:rPr>
                <w:vanish/>
              </w:rPr>
            </w:pPr>
            <w:r>
              <w:rPr>
                <w:rFonts w:ascii="Arial" w:hAnsi="Arial"/>
                <w:vanish/>
                <w:color w:val="000000"/>
              </w:rPr>
              <w:t>[OCULTAR] Lizitatzaile guztiei hiru egun naturaleko epea ematea, akta honetan zuzengarritzat kalifikatut</w:t>
            </w:r>
            <w:r>
              <w:rPr>
                <w:rFonts w:ascii="Arial" w:hAnsi="Arial"/>
                <w:vanish/>
                <w:color w:val="000000"/>
              </w:rPr>
              <w:t>ako akatsak zuzentzeko dokumentazioa aurkez dezaten. Aurreko puntuko epea igaro eta gero biltzea, akatsak behar bezala zuzenduak izan diren ala ez egiaztatzeko.</w:t>
            </w:r>
          </w:p>
          <w:p w:rsidR="00E34F25" w:rsidRDefault="00936844"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jc w:val="both"/>
              <w:rPr>
                <w:vanish/>
              </w:rPr>
            </w:pPr>
            <w:r>
              <w:rPr>
                <w:rFonts w:ascii="Arial" w:hAnsi="Arial"/>
                <w:vanish/>
                <w:color w:val="000000"/>
              </w:rPr>
              <w:t>[OCULTAR] Conceder un plazo de tres días naturales a todos los licitadores para que presenten</w:t>
            </w:r>
            <w:r>
              <w:rPr>
                <w:rFonts w:ascii="Arial" w:hAnsi="Arial"/>
                <w:vanish/>
                <w:color w:val="000000"/>
              </w:rPr>
              <w:t xml:space="preserve"> la documentación que, según lo dispuesto en el presente Acta, subsane aquellos defectos calificados expresamente como subsanables. Reunirse una vez transcurrido el plazo concedido en el punto anterior, a fin de verificar si los defectos han sido subsanado</w:t>
            </w:r>
            <w:r>
              <w:rPr>
                <w:rFonts w:ascii="Arial" w:hAnsi="Arial"/>
                <w:vanish/>
                <w:color w:val="000000"/>
              </w:rPr>
              <w:t>s o no adecuadamente.</w:t>
            </w:r>
          </w:p>
          <w:p w:rsidR="00E34F25" w:rsidRDefault="00936844"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keepLines/>
              <w:jc w:val="both"/>
            </w:pPr>
            <w:r>
              <w:rPr>
                <w:rFonts w:ascii="Arial" w:hAnsi="Arial"/>
                <w:color w:val="000000"/>
              </w:rPr>
              <w:t xml:space="preserve">Donostia, 2024.eko </w:t>
            </w:r>
            <w:proofErr w:type="spellStart"/>
            <w:r>
              <w:rPr>
                <w:rFonts w:ascii="Arial" w:hAnsi="Arial"/>
                <w:color w:val="000000"/>
              </w:rPr>
              <w:t>azaroak</w:t>
            </w:r>
            <w:proofErr w:type="spellEnd"/>
            <w:r>
              <w:rPr>
                <w:rFonts w:ascii="Arial" w:hAnsi="Arial"/>
                <w:color w:val="000000"/>
              </w:rPr>
              <w:t xml:space="preserve"> 12</w:t>
            </w:r>
          </w:p>
          <w:p w:rsidR="00E34F25" w:rsidRDefault="00936844"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keepLines/>
              <w:jc w:val="both"/>
            </w:pPr>
            <w:r>
              <w:rPr>
                <w:rFonts w:ascii="Arial" w:hAnsi="Arial"/>
                <w:color w:val="000000"/>
              </w:rPr>
              <w:t>Donostia, 12 de noviembre de 2024</w:t>
            </w:r>
          </w:p>
          <w:p w:rsidR="00E34F25" w:rsidRDefault="00936844">
            <w:r>
              <w:rPr>
                <w:rFonts w:ascii="Calibri" w:hAnsi="Calibri"/>
                <w:b/>
                <w:color w:val="000000"/>
                <w:sz w:val="22"/>
              </w:rPr>
              <w:t> </w:t>
            </w:r>
          </w:p>
        </w:tc>
      </w:tr>
      <w:tr w:rsidR="00E34F25"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E34F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E34F25" w:rsidRDefault="00936844" w:rsidP="0093684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71625" cy="866775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16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4F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E34F25" w:rsidRDefault="00936844" w:rsidP="00936844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>D./Dª</w:t>
                  </w:r>
                  <w:bookmarkStart w:id="3" w:name="_GoBack"/>
                  <w:bookmarkEnd w:id="3"/>
                  <w:r>
                    <w:rPr>
                      <w:rFonts w:ascii="Arial" w:hAnsi="Arial"/>
                      <w:color w:val="000000"/>
                    </w:rPr>
                    <w:t xml:space="preserve"> AITOR LANDER IZA</w:t>
                  </w:r>
                </w:p>
              </w:tc>
            </w:tr>
          </w:tbl>
          <w:p w:rsidR="00E34F25" w:rsidRDefault="00E34F25"/>
        </w:tc>
      </w:tr>
      <w:tr w:rsidR="00E34F25"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F25" w:rsidRDefault="00936844">
            <w:pPr>
              <w:keepLines/>
              <w:jc w:val="center"/>
            </w:pPr>
            <w:proofErr w:type="spellStart"/>
            <w:r>
              <w:rPr>
                <w:rFonts w:ascii="Arial" w:hAnsi="Arial"/>
                <w:color w:val="000000"/>
              </w:rPr>
              <w:t>Ebaluazio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Batzordearen</w:t>
            </w:r>
            <w:proofErr w:type="spellEnd"/>
            <w:r>
              <w:rPr>
                <w:rFonts w:ascii="Arial" w:hAnsi="Arial"/>
                <w:color w:val="000000"/>
              </w:rPr>
              <w:t xml:space="preserve"> / Comité de Evaluación</w:t>
            </w:r>
          </w:p>
        </w:tc>
      </w:tr>
    </w:tbl>
    <w:p w:rsidR="00E34F25" w:rsidRDefault="00936844">
      <w:pPr>
        <w:jc w:val="center"/>
      </w:pPr>
      <w:r>
        <w:rPr>
          <w:rFonts w:ascii="Calibri" w:hAnsi="Calibri"/>
          <w:b/>
          <w:color w:val="000000"/>
          <w:sz w:val="22"/>
        </w:rPr>
        <w:t> </w:t>
      </w:r>
    </w:p>
    <w:p w:rsidR="00E34F25" w:rsidRDefault="00936844">
      <w:pPr>
        <w:jc w:val="center"/>
      </w:pPr>
      <w:r>
        <w:rPr>
          <w:color w:val="000000"/>
        </w:rPr>
        <w:t> </w:t>
      </w:r>
    </w:p>
    <w:sectPr w:rsidR="00E34F25">
      <w:headerReference w:type="default" r:id="rId8"/>
      <w:footerReference w:type="default" r:id="rId9"/>
      <w:pgSz w:w="12240" w:h="15840"/>
      <w:pgMar w:top="1133" w:right="850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6844">
      <w:r>
        <w:separator/>
      </w:r>
    </w:p>
  </w:endnote>
  <w:endnote w:type="continuationSeparator" w:id="0">
    <w:p w:rsidR="00000000" w:rsidRDefault="0093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25" w:rsidRDefault="00936844">
    <w:pPr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Page</w:instrText>
    </w:r>
    <w:r w:rsidR="00020D15"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>/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NumPages</w:instrText>
    </w:r>
    <w:r w:rsidR="00020D15"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6844">
      <w:r>
        <w:separator/>
      </w:r>
    </w:p>
  </w:footnote>
  <w:footnote w:type="continuationSeparator" w:id="0">
    <w:p w:rsidR="00000000" w:rsidRDefault="0093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25" w:rsidRDefault="00936844">
    <w:r>
      <w:rPr>
        <w:noProof/>
      </w:rPr>
      <w:drawing>
        <wp:inline distT="0" distB="0" distL="0" distR="0">
          <wp:extent cx="1619250" cy="9906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019425" cy="53340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194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38175" cy="5334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81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38175" cy="53340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381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34F25" w:rsidRDefault="00E34F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2"/>
  </w:compat>
  <w:rsids>
    <w:rsidRoot w:val="00E34F25"/>
    <w:rsid w:val="00020D15"/>
    <w:rsid w:val="00936844"/>
    <w:rsid w:val="00E3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0D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ITZIAR MARTINEZ</cp:lastModifiedBy>
  <cp:revision>3</cp:revision>
  <dcterms:created xsi:type="dcterms:W3CDTF">2024-11-12T14:58:00Z</dcterms:created>
  <dcterms:modified xsi:type="dcterms:W3CDTF">2024-11-12T15:00:00Z</dcterms:modified>
</cp:coreProperties>
</file>